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4"/>
        <w:tblW w:w="10456" w:type="dxa"/>
        <w:tblLook w:val="04A0" w:firstRow="1" w:lastRow="0" w:firstColumn="1" w:lastColumn="0" w:noHBand="0" w:noVBand="1"/>
      </w:tblPr>
      <w:tblGrid>
        <w:gridCol w:w="10456"/>
      </w:tblGrid>
      <w:tr w:rsidR="007D2251" w:rsidTr="007D2251">
        <w:trPr>
          <w:trHeight w:val="397"/>
        </w:trPr>
        <w:tc>
          <w:tcPr>
            <w:tcW w:w="10456" w:type="dxa"/>
            <w:tcBorders>
              <w:top w:val="nil"/>
              <w:left w:val="nil"/>
              <w:bottom w:val="single" w:sz="4" w:space="0" w:color="auto"/>
              <w:right w:val="nil"/>
            </w:tcBorders>
            <w:shd w:val="clear" w:color="auto" w:fill="auto"/>
          </w:tcPr>
          <w:p w:rsidR="007D2251" w:rsidRPr="0090646A" w:rsidRDefault="007D2251" w:rsidP="00DB1ED9">
            <w:pPr>
              <w:rPr>
                <w:rFonts w:cs="Tahoma"/>
                <w:color w:val="FFFFFF" w:themeColor="background1"/>
                <w:sz w:val="24"/>
                <w:szCs w:val="24"/>
              </w:rPr>
            </w:pPr>
            <w:bookmarkStart w:id="0" w:name="_GoBack" w:colFirst="0" w:colLast="0"/>
            <w:r w:rsidRPr="0090646A">
              <w:rPr>
                <w:rFonts w:cs="Tahoma"/>
                <w:color w:val="009999"/>
                <w:sz w:val="24"/>
                <w:szCs w:val="24"/>
              </w:rPr>
              <w:t>App</w:t>
            </w:r>
            <w:r>
              <w:rPr>
                <w:rFonts w:cs="Tahoma"/>
                <w:color w:val="009999"/>
                <w:sz w:val="24"/>
                <w:szCs w:val="24"/>
              </w:rPr>
              <w:t>endix 5.1</w:t>
            </w:r>
          </w:p>
        </w:tc>
      </w:tr>
    </w:tbl>
    <w:tbl>
      <w:tblPr>
        <w:tblStyle w:val="TableGrid"/>
        <w:tblW w:w="10485" w:type="dxa"/>
        <w:tblLook w:val="04A0" w:firstRow="1" w:lastRow="0" w:firstColumn="1" w:lastColumn="0" w:noHBand="0" w:noVBand="1"/>
      </w:tblPr>
      <w:tblGrid>
        <w:gridCol w:w="2494"/>
        <w:gridCol w:w="7962"/>
        <w:gridCol w:w="29"/>
      </w:tblGrid>
      <w:tr w:rsidR="00BF661A" w:rsidTr="00BC6AE6">
        <w:trPr>
          <w:gridAfter w:val="1"/>
          <w:wAfter w:w="29" w:type="dxa"/>
        </w:trPr>
        <w:tc>
          <w:tcPr>
            <w:tcW w:w="10456" w:type="dxa"/>
            <w:gridSpan w:val="2"/>
            <w:tcBorders>
              <w:bottom w:val="single" w:sz="4" w:space="0" w:color="auto"/>
            </w:tcBorders>
            <w:shd w:val="clear" w:color="auto" w:fill="33CCCC"/>
          </w:tcPr>
          <w:bookmarkEnd w:id="0"/>
          <w:p w:rsidR="00BF661A" w:rsidRPr="00151C89" w:rsidRDefault="00BF661A" w:rsidP="00BC6AE6">
            <w:pPr>
              <w:rPr>
                <w:rFonts w:cs="Tahoma"/>
                <w:b/>
                <w:color w:val="FFFFFF" w:themeColor="background1"/>
                <w:sz w:val="44"/>
                <w:szCs w:val="44"/>
              </w:rPr>
            </w:pPr>
            <w:r w:rsidRPr="00151C89">
              <w:rPr>
                <w:rFonts w:cs="Tahoma"/>
                <w:b/>
                <w:color w:val="FFFFFF" w:themeColor="background1"/>
                <w:sz w:val="44"/>
                <w:szCs w:val="44"/>
              </w:rPr>
              <w:t>Workplace Preparation Program</w:t>
            </w:r>
          </w:p>
          <w:p w:rsidR="00BF661A" w:rsidRPr="00151C89" w:rsidRDefault="00BF661A" w:rsidP="00BC6AE6">
            <w:pPr>
              <w:rPr>
                <w:rFonts w:cs="Tahoma"/>
                <w:b/>
                <w:color w:val="FFFFFF" w:themeColor="background1"/>
                <w:sz w:val="36"/>
                <w:szCs w:val="36"/>
              </w:rPr>
            </w:pPr>
            <w:r w:rsidRPr="00151C89">
              <w:rPr>
                <w:rFonts w:cs="Tahoma"/>
                <w:b/>
                <w:color w:val="FFFFFF" w:themeColor="background1"/>
                <w:sz w:val="36"/>
                <w:szCs w:val="36"/>
              </w:rPr>
              <w:t>Demonstrating Understanding of the Essential Learnings</w:t>
            </w:r>
          </w:p>
        </w:tc>
      </w:tr>
      <w:tr w:rsidR="00BF661A" w:rsidRPr="001E3F1C" w:rsidTr="00BC6AE6">
        <w:trPr>
          <w:gridAfter w:val="1"/>
          <w:wAfter w:w="29" w:type="dxa"/>
        </w:trPr>
        <w:tc>
          <w:tcPr>
            <w:tcW w:w="10456" w:type="dxa"/>
            <w:gridSpan w:val="2"/>
            <w:tcBorders>
              <w:left w:val="nil"/>
              <w:right w:val="nil"/>
            </w:tcBorders>
          </w:tcPr>
          <w:p w:rsidR="00BF661A" w:rsidRPr="001E3F1C" w:rsidRDefault="00BF661A" w:rsidP="00BC6AE6">
            <w:pPr>
              <w:rPr>
                <w:sz w:val="10"/>
                <w:szCs w:val="10"/>
              </w:rPr>
            </w:pPr>
          </w:p>
        </w:tc>
      </w:tr>
      <w:tr w:rsidR="00BF661A" w:rsidTr="00BC6AE6">
        <w:trPr>
          <w:gridAfter w:val="1"/>
          <w:wAfter w:w="29" w:type="dxa"/>
        </w:trPr>
        <w:tc>
          <w:tcPr>
            <w:tcW w:w="10456" w:type="dxa"/>
            <w:gridSpan w:val="2"/>
            <w:shd w:val="clear" w:color="auto" w:fill="33CCCC"/>
          </w:tcPr>
          <w:p w:rsidR="00BF661A" w:rsidRPr="00151C89" w:rsidRDefault="00BF661A" w:rsidP="00BC6AE6">
            <w:pPr>
              <w:rPr>
                <w:b/>
                <w:color w:val="FFFFFF" w:themeColor="background1"/>
                <w:sz w:val="44"/>
                <w:szCs w:val="44"/>
              </w:rPr>
            </w:pPr>
            <w:r>
              <w:rPr>
                <w:b/>
                <w:color w:val="FFFFFF" w:themeColor="background1"/>
                <w:sz w:val="44"/>
                <w:szCs w:val="44"/>
              </w:rPr>
              <w:t>Practi</w:t>
            </w:r>
            <w:r w:rsidR="00050293">
              <w:rPr>
                <w:b/>
                <w:color w:val="FFFFFF" w:themeColor="background1"/>
                <w:sz w:val="44"/>
                <w:szCs w:val="44"/>
              </w:rPr>
              <w:t>ce Case Study Scenario 1: Jason</w:t>
            </w:r>
          </w:p>
        </w:tc>
      </w:tr>
      <w:tr w:rsidR="00BF661A" w:rsidTr="00BC6AE6">
        <w:trPr>
          <w:gridAfter w:val="1"/>
          <w:wAfter w:w="29" w:type="dxa"/>
        </w:trPr>
        <w:tc>
          <w:tcPr>
            <w:tcW w:w="10456" w:type="dxa"/>
            <w:gridSpan w:val="2"/>
            <w:tcBorders>
              <w:bottom w:val="single" w:sz="4" w:space="0" w:color="auto"/>
            </w:tcBorders>
          </w:tcPr>
          <w:p w:rsidR="00B900A3" w:rsidRPr="00B900A3" w:rsidRDefault="00050293" w:rsidP="00C57F57">
            <w:pPr>
              <w:pStyle w:val="NoSpacing"/>
              <w:jc w:val="both"/>
              <w:rPr>
                <w:i/>
                <w:sz w:val="16"/>
                <w:szCs w:val="16"/>
              </w:rPr>
            </w:pPr>
            <w:r w:rsidRPr="00050293">
              <w:rPr>
                <w:i/>
                <w:sz w:val="24"/>
                <w:szCs w:val="24"/>
              </w:rPr>
              <w:t>Jason was participating in work experience at a printing press operating one of the machines. His supervisor vaguely mentioned that whenever the machine started rolling Jason needed to “adjust it back and feel the rollers”. As he attempted to operate the machine and “feel the rollers” his hand became trapped, crushing his fingers and thumb and damaging his wrist. He required micro-surgery to extract a portion of hip to replace the damaged bone.</w:t>
            </w:r>
            <w:r w:rsidR="00C57F57">
              <w:rPr>
                <w:i/>
                <w:sz w:val="24"/>
                <w:szCs w:val="24"/>
              </w:rPr>
              <w:t xml:space="preserve">                                        </w:t>
            </w:r>
            <w:r w:rsidR="00B900A3" w:rsidRPr="00B900A3">
              <w:rPr>
                <w:i/>
                <w:sz w:val="16"/>
                <w:szCs w:val="16"/>
              </w:rPr>
              <w:t>Acknowledgement to SafeWork SA for this scenario.</w:t>
            </w:r>
          </w:p>
        </w:tc>
      </w:tr>
      <w:tr w:rsidR="00BF661A" w:rsidRPr="001E3F1C" w:rsidTr="00BC6AE6">
        <w:trPr>
          <w:gridAfter w:val="1"/>
          <w:wAfter w:w="29" w:type="dxa"/>
        </w:trPr>
        <w:tc>
          <w:tcPr>
            <w:tcW w:w="10456" w:type="dxa"/>
            <w:gridSpan w:val="2"/>
            <w:tcBorders>
              <w:left w:val="nil"/>
              <w:right w:val="nil"/>
            </w:tcBorders>
          </w:tcPr>
          <w:p w:rsidR="00BF661A" w:rsidRPr="001E3F1C" w:rsidRDefault="00BF661A" w:rsidP="00BC6AE6">
            <w:pPr>
              <w:pStyle w:val="NoSpacing"/>
              <w:jc w:val="both"/>
              <w:rPr>
                <w:sz w:val="10"/>
                <w:szCs w:val="10"/>
              </w:rPr>
            </w:pPr>
          </w:p>
        </w:tc>
      </w:tr>
      <w:tr w:rsidR="00BF661A" w:rsidTr="00BC6AE6">
        <w:trPr>
          <w:trHeight w:val="1943"/>
        </w:trPr>
        <w:tc>
          <w:tcPr>
            <w:tcW w:w="2494" w:type="dxa"/>
            <w:shd w:val="clear" w:color="auto" w:fill="33CCCC"/>
          </w:tcPr>
          <w:p w:rsidR="00BF661A" w:rsidRPr="00D66259" w:rsidRDefault="00BF661A" w:rsidP="00BC6AE6">
            <w:pPr>
              <w:pStyle w:val="ListParagraph"/>
              <w:numPr>
                <w:ilvl w:val="0"/>
                <w:numId w:val="2"/>
              </w:numPr>
              <w:rPr>
                <w:rFonts w:ascii="Calibri" w:hAnsi="Calibri" w:cs="Times New Roman"/>
                <w:b/>
                <w:color w:val="FFFFFF" w:themeColor="background1"/>
              </w:rPr>
            </w:pPr>
            <w:r w:rsidRPr="00151C89">
              <w:rPr>
                <w:rFonts w:ascii="Calibri" w:hAnsi="Calibri" w:cs="Times New Roman"/>
                <w:b/>
                <w:color w:val="FFFFFF" w:themeColor="background1"/>
              </w:rPr>
              <w:t>Identify the act, law or guideline that may have been breached and explain in what ways it may have been breached.</w:t>
            </w:r>
          </w:p>
        </w:tc>
        <w:tc>
          <w:tcPr>
            <w:tcW w:w="7991" w:type="dxa"/>
            <w:gridSpan w:val="2"/>
          </w:tcPr>
          <w:p w:rsidR="00BF661A" w:rsidRPr="002A4F66" w:rsidRDefault="00BF661A" w:rsidP="00BC6AE6">
            <w:pPr>
              <w:contextualSpacing/>
              <w:rPr>
                <w:rFonts w:ascii="Calibri" w:hAnsi="Calibri" w:cs="Times New Roman"/>
              </w:rPr>
            </w:pPr>
            <w:r w:rsidRPr="002A4F66">
              <w:rPr>
                <w:rFonts w:ascii="Calibri" w:hAnsi="Calibri" w:cs="Times New Roman"/>
              </w:rPr>
              <w:t>It is possible that the following guideline and act could be breached:</w:t>
            </w:r>
          </w:p>
          <w:p w:rsidR="007950B7" w:rsidRDefault="00BF661A" w:rsidP="007950B7">
            <w:pPr>
              <w:pStyle w:val="ListParagraph"/>
              <w:numPr>
                <w:ilvl w:val="0"/>
                <w:numId w:val="7"/>
              </w:numPr>
              <w:rPr>
                <w:rFonts w:ascii="Calibri" w:hAnsi="Calibri" w:cs="Times New Roman"/>
              </w:rPr>
            </w:pPr>
            <w:r w:rsidRPr="002A4F66">
              <w:rPr>
                <w:rFonts w:ascii="Calibri" w:hAnsi="Calibri" w:cs="Times New Roman"/>
                <w:i/>
              </w:rPr>
              <w:t xml:space="preserve">Prohibited Work Placement, Workplace Learning Guidelines 2014 </w:t>
            </w:r>
            <w:r>
              <w:rPr>
                <w:rFonts w:ascii="Calibri" w:hAnsi="Calibri" w:cs="Times New Roman"/>
              </w:rPr>
              <w:t>–</w:t>
            </w:r>
            <w:r w:rsidR="007950B7">
              <w:rPr>
                <w:rFonts w:ascii="Calibri" w:hAnsi="Calibri" w:cs="Times New Roman"/>
              </w:rPr>
              <w:t xml:space="preserve"> Jason has not been adequately supervised</w:t>
            </w:r>
          </w:p>
          <w:p w:rsidR="00BF661A" w:rsidRPr="002A4F66" w:rsidRDefault="00BF661A" w:rsidP="007950B7">
            <w:pPr>
              <w:pStyle w:val="ListParagraph"/>
              <w:numPr>
                <w:ilvl w:val="0"/>
                <w:numId w:val="7"/>
              </w:numPr>
              <w:rPr>
                <w:rFonts w:ascii="Calibri" w:hAnsi="Calibri" w:cs="Times New Roman"/>
              </w:rPr>
            </w:pPr>
            <w:r w:rsidRPr="002A4F66">
              <w:rPr>
                <w:rFonts w:ascii="Calibri" w:hAnsi="Calibri" w:cs="Times New Roman"/>
                <w:i/>
              </w:rPr>
              <w:t>Work Health and Safety Act 2012</w:t>
            </w:r>
            <w:r w:rsidR="007950B7">
              <w:rPr>
                <w:rFonts w:ascii="Calibri" w:hAnsi="Calibri" w:cs="Times New Roman"/>
                <w:i/>
              </w:rPr>
              <w:t xml:space="preserve"> </w:t>
            </w:r>
            <w:r w:rsidRPr="002A4F66">
              <w:rPr>
                <w:rFonts w:ascii="Calibri" w:hAnsi="Calibri" w:cs="Times New Roman"/>
              </w:rPr>
              <w:t xml:space="preserve">– the employer has failed to </w:t>
            </w:r>
            <w:r w:rsidR="00050293">
              <w:rPr>
                <w:rFonts w:ascii="Calibri" w:hAnsi="Calibri" w:cs="Times New Roman"/>
              </w:rPr>
              <w:t>protect Jason</w:t>
            </w:r>
            <w:r w:rsidR="00255D74">
              <w:rPr>
                <w:rFonts w:ascii="Calibri" w:hAnsi="Calibri" w:cs="Times New Roman"/>
              </w:rPr>
              <w:t xml:space="preserve"> against harm to his health, safety and welfare and has failed to provide suitable information, training, instruction and supervision to protect his health, safety and welfare.</w:t>
            </w:r>
          </w:p>
        </w:tc>
      </w:tr>
      <w:tr w:rsidR="00BF661A" w:rsidTr="00BC6AE6">
        <w:tc>
          <w:tcPr>
            <w:tcW w:w="2494" w:type="dxa"/>
            <w:shd w:val="clear" w:color="auto" w:fill="33CCCC"/>
          </w:tcPr>
          <w:p w:rsidR="00BF661A" w:rsidRPr="00D66259" w:rsidRDefault="00BF661A" w:rsidP="00BC6AE6">
            <w:pPr>
              <w:pStyle w:val="ListParagraph"/>
              <w:numPr>
                <w:ilvl w:val="0"/>
                <w:numId w:val="2"/>
              </w:numPr>
              <w:rPr>
                <w:b/>
                <w:color w:val="FFFFFF" w:themeColor="background1"/>
              </w:rPr>
            </w:pPr>
            <w:r w:rsidRPr="00151C89">
              <w:rPr>
                <w:rFonts w:ascii="Calibri" w:hAnsi="Calibri" w:cs="Times New Roman"/>
                <w:b/>
                <w:color w:val="FFFFFF" w:themeColor="background1"/>
              </w:rPr>
              <w:t>Explain the employer/workplace provider/</w:t>
            </w:r>
            <w:proofErr w:type="spellStart"/>
            <w:r w:rsidRPr="00151C89">
              <w:rPr>
                <w:rFonts w:ascii="Calibri" w:hAnsi="Calibri" w:cs="Times New Roman"/>
                <w:b/>
                <w:color w:val="FFFFFF" w:themeColor="background1"/>
              </w:rPr>
              <w:t>PCBU</w:t>
            </w:r>
            <w:proofErr w:type="spellEnd"/>
            <w:r w:rsidRPr="00151C89">
              <w:rPr>
                <w:rFonts w:ascii="Calibri" w:hAnsi="Calibri" w:cs="Times New Roman"/>
                <w:b/>
                <w:color w:val="FFFFFF" w:themeColor="background1"/>
              </w:rPr>
              <w:t xml:space="preserve"> rights and responsibilities in the situation.</w:t>
            </w:r>
          </w:p>
        </w:tc>
        <w:tc>
          <w:tcPr>
            <w:tcW w:w="7991" w:type="dxa"/>
            <w:gridSpan w:val="2"/>
          </w:tcPr>
          <w:p w:rsidR="00BF661A" w:rsidRDefault="00BF661A" w:rsidP="00BC6AE6">
            <w:r>
              <w:t>The employer/workplace provider/</w:t>
            </w:r>
            <w:proofErr w:type="spellStart"/>
            <w:r>
              <w:t>PCBU</w:t>
            </w:r>
            <w:proofErr w:type="spellEnd"/>
            <w:r>
              <w:t xml:space="preserve"> must provide:</w:t>
            </w:r>
          </w:p>
          <w:p w:rsidR="007950B7" w:rsidRDefault="00BF661A" w:rsidP="007950B7">
            <w:pPr>
              <w:pStyle w:val="ListParagraph"/>
              <w:numPr>
                <w:ilvl w:val="0"/>
                <w:numId w:val="8"/>
              </w:numPr>
            </w:pPr>
            <w:r>
              <w:t>A safe work environment and</w:t>
            </w:r>
            <w:r w:rsidR="00A149DC">
              <w:t xml:space="preserve"> safe systems of work and</w:t>
            </w:r>
            <w:r w:rsidR="007950B7">
              <w:t>,</w:t>
            </w:r>
            <w:r>
              <w:t xml:space="preserve"> </w:t>
            </w:r>
            <w:r w:rsidR="007950B7">
              <w:t>as far as is reasonably practicable, eliminate risks to health and safety</w:t>
            </w:r>
            <w:r>
              <w:t xml:space="preserve"> </w:t>
            </w:r>
          </w:p>
          <w:p w:rsidR="00BF661A" w:rsidRDefault="00BF661A" w:rsidP="007950B7">
            <w:pPr>
              <w:pStyle w:val="ListParagraph"/>
              <w:numPr>
                <w:ilvl w:val="0"/>
                <w:numId w:val="8"/>
              </w:numPr>
            </w:pPr>
            <w:r>
              <w:t xml:space="preserve">Information, </w:t>
            </w:r>
            <w:r w:rsidR="007950B7">
              <w:t>training, instruction or supervision necessary to protect all persons from risks to their health and safety</w:t>
            </w:r>
          </w:p>
          <w:p w:rsidR="00A149DC" w:rsidRDefault="00A149DC" w:rsidP="007950B7">
            <w:pPr>
              <w:pStyle w:val="ListParagraph"/>
              <w:numPr>
                <w:ilvl w:val="0"/>
                <w:numId w:val="8"/>
              </w:numPr>
            </w:pPr>
            <w:r>
              <w:t>Personal Protective Equipment when required</w:t>
            </w:r>
          </w:p>
        </w:tc>
      </w:tr>
      <w:tr w:rsidR="00BF661A" w:rsidTr="00BC6AE6">
        <w:tc>
          <w:tcPr>
            <w:tcW w:w="2494" w:type="dxa"/>
            <w:shd w:val="clear" w:color="auto" w:fill="33CCCC"/>
          </w:tcPr>
          <w:p w:rsidR="00BF661A" w:rsidRPr="00151C89" w:rsidRDefault="00BF661A" w:rsidP="00BC6AE6">
            <w:pPr>
              <w:pStyle w:val="ListParagraph"/>
              <w:numPr>
                <w:ilvl w:val="0"/>
                <w:numId w:val="2"/>
              </w:numPr>
              <w:rPr>
                <w:b/>
                <w:color w:val="FFFFFF" w:themeColor="background1"/>
              </w:rPr>
            </w:pPr>
            <w:r w:rsidRPr="00151C89">
              <w:rPr>
                <w:b/>
                <w:color w:val="FFFFFF" w:themeColor="background1"/>
              </w:rPr>
              <w:t>Explain the employee/worker’s rights and responsibilities in the situation.</w:t>
            </w:r>
          </w:p>
          <w:p w:rsidR="00BF661A" w:rsidRPr="00151C89" w:rsidRDefault="00BF661A" w:rsidP="00BC6AE6">
            <w:pPr>
              <w:pStyle w:val="ListParagraph"/>
              <w:ind w:left="360"/>
              <w:rPr>
                <w:b/>
                <w:color w:val="FFFFFF" w:themeColor="background1"/>
              </w:rPr>
            </w:pPr>
          </w:p>
        </w:tc>
        <w:tc>
          <w:tcPr>
            <w:tcW w:w="7991" w:type="dxa"/>
            <w:gridSpan w:val="2"/>
          </w:tcPr>
          <w:p w:rsidR="00BF661A" w:rsidRDefault="00BF661A" w:rsidP="00BC6AE6">
            <w:pPr>
              <w:contextualSpacing/>
              <w:rPr>
                <w:rFonts w:ascii="Calibri" w:hAnsi="Calibri" w:cs="Times New Roman"/>
              </w:rPr>
            </w:pPr>
            <w:r w:rsidRPr="002A4F66">
              <w:rPr>
                <w:rFonts w:ascii="Calibri" w:hAnsi="Calibri" w:cs="Times New Roman"/>
              </w:rPr>
              <w:t>The employee/worker must:</w:t>
            </w:r>
          </w:p>
          <w:p w:rsidR="009E3FE7" w:rsidRDefault="003E53F6" w:rsidP="003E53F6">
            <w:pPr>
              <w:pStyle w:val="ListParagraph"/>
              <w:numPr>
                <w:ilvl w:val="0"/>
                <w:numId w:val="11"/>
              </w:numPr>
              <w:rPr>
                <w:rFonts w:ascii="Calibri" w:hAnsi="Calibri" w:cs="Times New Roman"/>
              </w:rPr>
            </w:pPr>
            <w:r w:rsidRPr="009E3FE7">
              <w:rPr>
                <w:rFonts w:ascii="Calibri" w:hAnsi="Calibri" w:cs="Times New Roman"/>
              </w:rPr>
              <w:t xml:space="preserve">Take reasonable care for their own </w:t>
            </w:r>
            <w:r w:rsidR="009E3FE7" w:rsidRPr="009E3FE7">
              <w:rPr>
                <w:rFonts w:ascii="Calibri" w:hAnsi="Calibri" w:cs="Times New Roman"/>
              </w:rPr>
              <w:t>and others</w:t>
            </w:r>
            <w:r w:rsidR="009E3FE7">
              <w:rPr>
                <w:rFonts w:ascii="Calibri" w:hAnsi="Calibri" w:cs="Times New Roman"/>
              </w:rPr>
              <w:t>’</w:t>
            </w:r>
            <w:r w:rsidR="009E3FE7" w:rsidRPr="009E3FE7">
              <w:rPr>
                <w:rFonts w:ascii="Calibri" w:hAnsi="Calibri" w:cs="Times New Roman"/>
              </w:rPr>
              <w:t xml:space="preserve"> </w:t>
            </w:r>
            <w:r w:rsidRPr="009E3FE7">
              <w:rPr>
                <w:rFonts w:ascii="Calibri" w:hAnsi="Calibri" w:cs="Times New Roman"/>
              </w:rPr>
              <w:t>health and safety</w:t>
            </w:r>
            <w:r w:rsidR="000255BA" w:rsidRPr="009E3FE7">
              <w:rPr>
                <w:rFonts w:ascii="Calibri" w:hAnsi="Calibri" w:cs="Times New Roman"/>
              </w:rPr>
              <w:t xml:space="preserve"> </w:t>
            </w:r>
          </w:p>
          <w:p w:rsidR="00A149DC" w:rsidRPr="009E3FE7" w:rsidRDefault="00A149DC" w:rsidP="003E53F6">
            <w:pPr>
              <w:pStyle w:val="ListParagraph"/>
              <w:numPr>
                <w:ilvl w:val="0"/>
                <w:numId w:val="11"/>
              </w:numPr>
              <w:rPr>
                <w:rFonts w:ascii="Calibri" w:hAnsi="Calibri" w:cs="Times New Roman"/>
              </w:rPr>
            </w:pPr>
            <w:r w:rsidRPr="009E3FE7">
              <w:rPr>
                <w:rFonts w:ascii="Calibri" w:hAnsi="Calibri" w:cs="Times New Roman"/>
              </w:rPr>
              <w:t>Conduct Risk Assessments of situations and tasks</w:t>
            </w:r>
          </w:p>
          <w:p w:rsidR="002A4F66" w:rsidRPr="002A4F66" w:rsidRDefault="00BF661A" w:rsidP="00BF661A">
            <w:pPr>
              <w:numPr>
                <w:ilvl w:val="0"/>
                <w:numId w:val="9"/>
              </w:numPr>
              <w:contextualSpacing/>
              <w:rPr>
                <w:rFonts w:ascii="Calibri" w:hAnsi="Calibri" w:cs="Times New Roman"/>
              </w:rPr>
            </w:pPr>
            <w:r w:rsidRPr="002A4F66">
              <w:rPr>
                <w:rFonts w:ascii="Calibri" w:hAnsi="Calibri" w:cs="Times New Roman"/>
              </w:rPr>
              <w:t xml:space="preserve">Tell the supervisor </w:t>
            </w:r>
            <w:r w:rsidR="0062158F">
              <w:rPr>
                <w:rFonts w:ascii="Calibri" w:hAnsi="Calibri" w:cs="Times New Roman"/>
              </w:rPr>
              <w:t xml:space="preserve">or another staff member </w:t>
            </w:r>
            <w:r w:rsidRPr="002A4F66">
              <w:rPr>
                <w:rFonts w:ascii="Calibri" w:hAnsi="Calibri" w:cs="Times New Roman"/>
              </w:rPr>
              <w:t xml:space="preserve">if they think that something that has </w:t>
            </w:r>
            <w:r w:rsidR="003E53F6">
              <w:rPr>
                <w:rFonts w:ascii="Calibri" w:hAnsi="Calibri" w:cs="Times New Roman"/>
              </w:rPr>
              <w:t xml:space="preserve">happened </w:t>
            </w:r>
            <w:r w:rsidRPr="002A4F66">
              <w:rPr>
                <w:rFonts w:ascii="Calibri" w:hAnsi="Calibri" w:cs="Times New Roman"/>
              </w:rPr>
              <w:t>breaches an act or the Workplace Learning Guidelines</w:t>
            </w:r>
          </w:p>
          <w:p w:rsidR="00BF661A" w:rsidRDefault="00BF661A" w:rsidP="00BF661A">
            <w:pPr>
              <w:pStyle w:val="ListParagraph"/>
              <w:numPr>
                <w:ilvl w:val="0"/>
                <w:numId w:val="9"/>
              </w:numPr>
            </w:pPr>
            <w:r w:rsidRPr="002A4F66">
              <w:rPr>
                <w:rFonts w:ascii="Calibri" w:hAnsi="Calibri" w:cs="Times New Roman"/>
              </w:rPr>
              <w:t>Tell a teacher at their school if they think that something that happened at work breaches an act or the Workplace Learning Guidelines</w:t>
            </w:r>
          </w:p>
        </w:tc>
      </w:tr>
      <w:tr w:rsidR="00BF661A" w:rsidTr="00BC6AE6">
        <w:tc>
          <w:tcPr>
            <w:tcW w:w="2494" w:type="dxa"/>
            <w:shd w:val="clear" w:color="auto" w:fill="33CCCC"/>
          </w:tcPr>
          <w:p w:rsidR="00BF661A" w:rsidRDefault="00BF661A" w:rsidP="00BC6AE6">
            <w:pPr>
              <w:pStyle w:val="ListParagraph"/>
              <w:numPr>
                <w:ilvl w:val="0"/>
                <w:numId w:val="2"/>
              </w:numPr>
              <w:rPr>
                <w:b/>
                <w:color w:val="FFFFFF" w:themeColor="background1"/>
              </w:rPr>
            </w:pPr>
            <w:r w:rsidRPr="00151C89">
              <w:rPr>
                <w:b/>
                <w:color w:val="FFFFFF" w:themeColor="background1"/>
              </w:rPr>
              <w:t>Strategies</w:t>
            </w:r>
          </w:p>
          <w:p w:rsidR="00BF661A" w:rsidRPr="00D66259" w:rsidRDefault="00BF661A" w:rsidP="00BC6AE6">
            <w:pPr>
              <w:pStyle w:val="ListParagraph"/>
              <w:numPr>
                <w:ilvl w:val="0"/>
                <w:numId w:val="1"/>
              </w:numPr>
              <w:rPr>
                <w:b/>
                <w:color w:val="FFFFFF" w:themeColor="background1"/>
              </w:rPr>
            </w:pPr>
            <w:r w:rsidRPr="00D66259">
              <w:rPr>
                <w:b/>
                <w:color w:val="FFFFFF" w:themeColor="background1"/>
              </w:rPr>
              <w:t>Preventative</w:t>
            </w:r>
          </w:p>
          <w:p w:rsidR="00BF661A" w:rsidRPr="00D66259" w:rsidRDefault="00BF661A" w:rsidP="00BC6AE6">
            <w:pPr>
              <w:rPr>
                <w:b/>
                <w:color w:val="FFFFFF" w:themeColor="background1"/>
              </w:rPr>
            </w:pPr>
          </w:p>
        </w:tc>
        <w:tc>
          <w:tcPr>
            <w:tcW w:w="7991" w:type="dxa"/>
            <w:gridSpan w:val="2"/>
          </w:tcPr>
          <w:p w:rsidR="002A4F66" w:rsidRPr="002A4F66" w:rsidRDefault="00BF661A" w:rsidP="00BF661A">
            <w:pPr>
              <w:numPr>
                <w:ilvl w:val="0"/>
                <w:numId w:val="6"/>
              </w:numPr>
              <w:contextualSpacing/>
              <w:rPr>
                <w:rFonts w:ascii="Calibri" w:hAnsi="Calibri" w:cs="Times New Roman"/>
              </w:rPr>
            </w:pPr>
            <w:r w:rsidRPr="002A4F66">
              <w:rPr>
                <w:rFonts w:ascii="Calibri" w:hAnsi="Calibri" w:cs="Times New Roman"/>
              </w:rPr>
              <w:t>Ensure employers are aware of activities that are prohibited for work placements</w:t>
            </w:r>
          </w:p>
          <w:p w:rsidR="002A4F66" w:rsidRPr="002A4F66" w:rsidRDefault="00BF661A" w:rsidP="00BF661A">
            <w:pPr>
              <w:numPr>
                <w:ilvl w:val="0"/>
                <w:numId w:val="6"/>
              </w:numPr>
              <w:contextualSpacing/>
              <w:rPr>
                <w:rFonts w:ascii="Calibri" w:hAnsi="Calibri" w:cs="Times New Roman"/>
              </w:rPr>
            </w:pPr>
            <w:r w:rsidRPr="002A4F66">
              <w:rPr>
                <w:rFonts w:ascii="Calibri" w:hAnsi="Calibri" w:cs="Times New Roman"/>
              </w:rPr>
              <w:t>Ensure workers receive a thorough induction and that they understand what to do</w:t>
            </w:r>
          </w:p>
          <w:p w:rsidR="00A149DC" w:rsidRPr="00A149DC" w:rsidRDefault="00A149DC" w:rsidP="00890984">
            <w:pPr>
              <w:pStyle w:val="ListParagraph"/>
              <w:numPr>
                <w:ilvl w:val="0"/>
                <w:numId w:val="6"/>
              </w:numPr>
            </w:pPr>
            <w:r>
              <w:t>Conduct a Risk Assessment of tasks and implement strategies to minimise risk</w:t>
            </w:r>
          </w:p>
          <w:p w:rsidR="00BF661A" w:rsidRDefault="00BF661A" w:rsidP="00890984">
            <w:pPr>
              <w:pStyle w:val="ListParagraph"/>
              <w:numPr>
                <w:ilvl w:val="0"/>
                <w:numId w:val="6"/>
              </w:numPr>
            </w:pPr>
            <w:r w:rsidRPr="002A4F66">
              <w:rPr>
                <w:rFonts w:ascii="Calibri" w:hAnsi="Calibri" w:cs="Times New Roman"/>
              </w:rPr>
              <w:t>Ensure employers provide a policy, procedures and training to ensure</w:t>
            </w:r>
            <w:r w:rsidR="00890984">
              <w:rPr>
                <w:rFonts w:ascii="Calibri" w:hAnsi="Calibri" w:cs="Times New Roman"/>
              </w:rPr>
              <w:t>,</w:t>
            </w:r>
            <w:r w:rsidRPr="002A4F66">
              <w:rPr>
                <w:rFonts w:ascii="Calibri" w:hAnsi="Calibri" w:cs="Times New Roman"/>
              </w:rPr>
              <w:t xml:space="preserve"> </w:t>
            </w:r>
            <w:r w:rsidR="00890984">
              <w:t>as far as is reasonably practicable, that risks to health and safety are eliminated</w:t>
            </w:r>
          </w:p>
          <w:p w:rsidR="00A149DC" w:rsidRDefault="00A149DC" w:rsidP="00890984">
            <w:pPr>
              <w:pStyle w:val="ListParagraph"/>
              <w:numPr>
                <w:ilvl w:val="0"/>
                <w:numId w:val="6"/>
              </w:numPr>
            </w:pPr>
            <w:r>
              <w:t>Read and stick to the safe operating procedures for equipment and machinery</w:t>
            </w:r>
          </w:p>
          <w:p w:rsidR="00A149DC" w:rsidRDefault="00A149DC" w:rsidP="00A149DC">
            <w:pPr>
              <w:pStyle w:val="ListParagraph"/>
              <w:numPr>
                <w:ilvl w:val="0"/>
                <w:numId w:val="6"/>
              </w:numPr>
            </w:pPr>
            <w:r>
              <w:t>Wear and use Personal Protective Equipment</w:t>
            </w:r>
          </w:p>
        </w:tc>
      </w:tr>
      <w:tr w:rsidR="00BF661A" w:rsidTr="00BC6AE6">
        <w:tc>
          <w:tcPr>
            <w:tcW w:w="2494" w:type="dxa"/>
            <w:shd w:val="clear" w:color="auto" w:fill="33CCCC"/>
          </w:tcPr>
          <w:p w:rsidR="00BF661A" w:rsidRPr="00151C89" w:rsidRDefault="00BF661A" w:rsidP="00BC6AE6">
            <w:pPr>
              <w:pStyle w:val="ListParagraph"/>
              <w:numPr>
                <w:ilvl w:val="0"/>
                <w:numId w:val="1"/>
              </w:numPr>
              <w:rPr>
                <w:b/>
                <w:color w:val="FFFFFF" w:themeColor="background1"/>
              </w:rPr>
            </w:pPr>
            <w:r w:rsidRPr="00151C89">
              <w:rPr>
                <w:b/>
                <w:color w:val="FFFFFF" w:themeColor="background1"/>
              </w:rPr>
              <w:t>Immediate</w:t>
            </w:r>
          </w:p>
          <w:p w:rsidR="00BF661A" w:rsidRPr="00151C89" w:rsidRDefault="00BF661A" w:rsidP="00BC6AE6">
            <w:pPr>
              <w:pStyle w:val="ListParagraph"/>
              <w:rPr>
                <w:b/>
                <w:color w:val="FFFFFF" w:themeColor="background1"/>
              </w:rPr>
            </w:pPr>
          </w:p>
        </w:tc>
        <w:tc>
          <w:tcPr>
            <w:tcW w:w="7991" w:type="dxa"/>
            <w:gridSpan w:val="2"/>
          </w:tcPr>
          <w:p w:rsidR="00F85F85" w:rsidRDefault="00F85F85" w:rsidP="00BF661A">
            <w:pPr>
              <w:pStyle w:val="ListParagraph"/>
              <w:numPr>
                <w:ilvl w:val="0"/>
                <w:numId w:val="10"/>
              </w:numPr>
              <w:rPr>
                <w:rFonts w:ascii="Calibri" w:hAnsi="Calibri" w:cs="Times New Roman"/>
              </w:rPr>
            </w:pPr>
            <w:r>
              <w:rPr>
                <w:rFonts w:ascii="Calibri" w:hAnsi="Calibri" w:cs="Times New Roman"/>
              </w:rPr>
              <w:t>Revisit strategies identified in Risk Assessments</w:t>
            </w:r>
          </w:p>
          <w:p w:rsidR="00F85F85" w:rsidRDefault="00F85F85" w:rsidP="00BF661A">
            <w:pPr>
              <w:pStyle w:val="ListParagraph"/>
              <w:numPr>
                <w:ilvl w:val="0"/>
                <w:numId w:val="10"/>
              </w:numPr>
              <w:rPr>
                <w:rFonts w:ascii="Calibri" w:hAnsi="Calibri" w:cs="Times New Roman"/>
              </w:rPr>
            </w:pPr>
            <w:r>
              <w:rPr>
                <w:rFonts w:ascii="Calibri" w:hAnsi="Calibri" w:cs="Times New Roman"/>
              </w:rPr>
              <w:t>Report accidents and near misses immediately</w:t>
            </w:r>
          </w:p>
          <w:p w:rsidR="00F85F85" w:rsidRPr="00F85F85" w:rsidRDefault="00F85F85" w:rsidP="00BF661A">
            <w:pPr>
              <w:pStyle w:val="ListParagraph"/>
              <w:numPr>
                <w:ilvl w:val="0"/>
                <w:numId w:val="10"/>
              </w:numPr>
              <w:rPr>
                <w:rFonts w:ascii="Calibri" w:hAnsi="Calibri" w:cs="Times New Roman"/>
              </w:rPr>
            </w:pPr>
            <w:r w:rsidRPr="00F85F85">
              <w:rPr>
                <w:rFonts w:ascii="Calibri" w:hAnsi="Calibri" w:cs="Times New Roman"/>
              </w:rPr>
              <w:t xml:space="preserve">Ask questions if they are unsure of what to do and </w:t>
            </w:r>
            <w:r>
              <w:rPr>
                <w:rFonts w:ascii="Calibri" w:hAnsi="Calibri" w:cs="Times New Roman"/>
              </w:rPr>
              <w:t>t</w:t>
            </w:r>
            <w:r w:rsidRPr="00F85F85">
              <w:rPr>
                <w:rFonts w:ascii="Calibri" w:hAnsi="Calibri" w:cs="Times New Roman"/>
              </w:rPr>
              <w:t>ell the supervisor or another staff member if they don’t feel comfortable about a certain task</w:t>
            </w:r>
          </w:p>
          <w:p w:rsidR="00C265B8" w:rsidRPr="00C265B8" w:rsidRDefault="00BF661A" w:rsidP="00BF661A">
            <w:pPr>
              <w:numPr>
                <w:ilvl w:val="0"/>
                <w:numId w:val="10"/>
              </w:numPr>
              <w:contextualSpacing/>
              <w:rPr>
                <w:rFonts w:ascii="Calibri" w:hAnsi="Calibri" w:cs="Times New Roman"/>
              </w:rPr>
            </w:pPr>
            <w:r w:rsidRPr="00C265B8">
              <w:rPr>
                <w:rFonts w:ascii="Calibri" w:hAnsi="Calibri" w:cs="Times New Roman"/>
              </w:rPr>
              <w:t xml:space="preserve">Tell the supervisor </w:t>
            </w:r>
            <w:r w:rsidR="00C4220B">
              <w:rPr>
                <w:rFonts w:ascii="Calibri" w:hAnsi="Calibri" w:cs="Times New Roman"/>
              </w:rPr>
              <w:t xml:space="preserve">or another staff member </w:t>
            </w:r>
            <w:r w:rsidRPr="00C265B8">
              <w:rPr>
                <w:rFonts w:ascii="Calibri" w:hAnsi="Calibri" w:cs="Times New Roman"/>
              </w:rPr>
              <w:t xml:space="preserve">if they think that something that has </w:t>
            </w:r>
            <w:r w:rsidR="00876EE3">
              <w:rPr>
                <w:rFonts w:ascii="Calibri" w:hAnsi="Calibri" w:cs="Times New Roman"/>
              </w:rPr>
              <w:t>happened</w:t>
            </w:r>
            <w:r w:rsidRPr="00C265B8">
              <w:rPr>
                <w:rFonts w:ascii="Calibri" w:hAnsi="Calibri" w:cs="Times New Roman"/>
              </w:rPr>
              <w:t xml:space="preserve"> breaches an act or the Workplace Learning Guidelines</w:t>
            </w:r>
          </w:p>
          <w:p w:rsidR="00BF661A" w:rsidRDefault="00BF661A" w:rsidP="00BF661A">
            <w:pPr>
              <w:pStyle w:val="ListParagraph"/>
              <w:numPr>
                <w:ilvl w:val="0"/>
                <w:numId w:val="10"/>
              </w:numPr>
            </w:pPr>
            <w:r w:rsidRPr="00C265B8">
              <w:rPr>
                <w:rFonts w:ascii="Calibri" w:hAnsi="Calibri" w:cs="Times New Roman"/>
              </w:rPr>
              <w:t>Tell a teacher at their school if they think that something that happened at work breaches an act or the Workplace Learning Guidelines</w:t>
            </w:r>
          </w:p>
        </w:tc>
      </w:tr>
      <w:tr w:rsidR="00BF661A" w:rsidTr="00BC6AE6">
        <w:tc>
          <w:tcPr>
            <w:tcW w:w="2494" w:type="dxa"/>
            <w:shd w:val="clear" w:color="auto" w:fill="33CCCC"/>
          </w:tcPr>
          <w:p w:rsidR="00BF661A" w:rsidRPr="00151C89" w:rsidRDefault="00BF661A" w:rsidP="00BC6AE6">
            <w:pPr>
              <w:pStyle w:val="ListParagraph"/>
              <w:numPr>
                <w:ilvl w:val="0"/>
                <w:numId w:val="1"/>
              </w:numPr>
              <w:rPr>
                <w:b/>
                <w:color w:val="FFFFFF" w:themeColor="background1"/>
              </w:rPr>
            </w:pPr>
            <w:r w:rsidRPr="00151C89">
              <w:rPr>
                <w:b/>
                <w:color w:val="FFFFFF" w:themeColor="background1"/>
              </w:rPr>
              <w:t>Further actions or support strategies</w:t>
            </w:r>
          </w:p>
        </w:tc>
        <w:tc>
          <w:tcPr>
            <w:tcW w:w="7991" w:type="dxa"/>
            <w:gridSpan w:val="2"/>
          </w:tcPr>
          <w:p w:rsidR="000255BA" w:rsidRDefault="00BF661A" w:rsidP="00BF661A">
            <w:pPr>
              <w:pStyle w:val="ListParagraph"/>
              <w:numPr>
                <w:ilvl w:val="0"/>
                <w:numId w:val="10"/>
              </w:numPr>
            </w:pPr>
            <w:r w:rsidRPr="00D25CD5">
              <w:t xml:space="preserve">Ensure employees receive appropriate training </w:t>
            </w:r>
            <w:r w:rsidR="005559BD">
              <w:t xml:space="preserve">and prioritise </w:t>
            </w:r>
            <w:r w:rsidR="000255BA">
              <w:t>w</w:t>
            </w:r>
            <w:r w:rsidR="005559BD">
              <w:t>ork health &amp; safety</w:t>
            </w:r>
          </w:p>
          <w:p w:rsidR="000255BA" w:rsidRDefault="00F527AE" w:rsidP="00BF661A">
            <w:pPr>
              <w:pStyle w:val="ListParagraph"/>
              <w:numPr>
                <w:ilvl w:val="0"/>
                <w:numId w:val="10"/>
              </w:numPr>
            </w:pPr>
            <w:r>
              <w:t>Encourage worker</w:t>
            </w:r>
            <w:r w:rsidR="000255BA">
              <w:t>s to ask questions, or to cease work if they have safety concerns</w:t>
            </w:r>
          </w:p>
          <w:p w:rsidR="00BF661A" w:rsidRPr="00D25CD5" w:rsidRDefault="00BF661A" w:rsidP="00BF661A">
            <w:pPr>
              <w:pStyle w:val="ListParagraph"/>
              <w:numPr>
                <w:ilvl w:val="0"/>
                <w:numId w:val="10"/>
              </w:numPr>
              <w:rPr>
                <w:rFonts w:ascii="Calibri" w:hAnsi="Calibri" w:cs="Times New Roman"/>
              </w:rPr>
            </w:pPr>
            <w:r w:rsidRPr="00D25CD5">
              <w:rPr>
                <w:rFonts w:ascii="Calibri" w:hAnsi="Calibri" w:cs="Times New Roman"/>
              </w:rPr>
              <w:t xml:space="preserve">The Legal Services Commission </w:t>
            </w:r>
            <w:proofErr w:type="spellStart"/>
            <w:r w:rsidRPr="00D25CD5">
              <w:rPr>
                <w:rFonts w:ascii="Calibri" w:hAnsi="Calibri" w:cs="Times New Roman"/>
              </w:rPr>
              <w:t>Ph</w:t>
            </w:r>
            <w:proofErr w:type="spellEnd"/>
            <w:r w:rsidRPr="00D25CD5">
              <w:rPr>
                <w:rFonts w:ascii="Calibri" w:hAnsi="Calibri" w:cs="Times New Roman"/>
              </w:rPr>
              <w:t xml:space="preserve">: 1300 366 424 </w:t>
            </w:r>
            <w:hyperlink r:id="rId9" w:history="1">
              <w:r w:rsidRPr="00D25CD5">
                <w:rPr>
                  <w:rFonts w:ascii="Calibri" w:hAnsi="Calibri" w:cs="Times New Roman"/>
                  <w:u w:val="single"/>
                </w:rPr>
                <w:t>www.lsc.sa.gov.au</w:t>
              </w:r>
            </w:hyperlink>
          </w:p>
          <w:p w:rsidR="00BF661A" w:rsidRPr="00D25CD5" w:rsidRDefault="00BF661A" w:rsidP="00BF661A">
            <w:pPr>
              <w:pStyle w:val="ListParagraph"/>
              <w:numPr>
                <w:ilvl w:val="0"/>
                <w:numId w:val="10"/>
              </w:numPr>
              <w:rPr>
                <w:rFonts w:ascii="Calibri" w:hAnsi="Calibri" w:cs="Times New Roman"/>
              </w:rPr>
            </w:pPr>
            <w:r w:rsidRPr="00D25CD5">
              <w:rPr>
                <w:rFonts w:ascii="Calibri" w:hAnsi="Calibri" w:cs="Times New Roman"/>
              </w:rPr>
              <w:t xml:space="preserve">The Young Workers Legal Service </w:t>
            </w:r>
            <w:proofErr w:type="spellStart"/>
            <w:r w:rsidRPr="00D25CD5">
              <w:rPr>
                <w:rFonts w:ascii="Calibri" w:hAnsi="Calibri" w:cs="Times New Roman"/>
              </w:rPr>
              <w:t>Ph</w:t>
            </w:r>
            <w:proofErr w:type="spellEnd"/>
            <w:r w:rsidRPr="00D25CD5">
              <w:rPr>
                <w:rFonts w:ascii="Calibri" w:hAnsi="Calibri" w:cs="Times New Roman"/>
              </w:rPr>
              <w:t xml:space="preserve">: (08) 8279 2233 </w:t>
            </w:r>
            <w:hyperlink r:id="rId10" w:history="1">
              <w:r w:rsidRPr="00D25CD5">
                <w:rPr>
                  <w:rFonts w:ascii="Calibri" w:hAnsi="Calibri" w:cs="Times New Roman"/>
                  <w:u w:val="single"/>
                </w:rPr>
                <w:t>www.ywls.org.au</w:t>
              </w:r>
            </w:hyperlink>
          </w:p>
          <w:p w:rsidR="00BF661A" w:rsidRPr="00D25CD5" w:rsidRDefault="00BF661A" w:rsidP="00BF661A">
            <w:pPr>
              <w:pStyle w:val="ListParagraph"/>
              <w:numPr>
                <w:ilvl w:val="0"/>
                <w:numId w:val="10"/>
              </w:numPr>
              <w:rPr>
                <w:rFonts w:ascii="Calibri" w:hAnsi="Calibri" w:cs="Times New Roman"/>
              </w:rPr>
            </w:pPr>
            <w:r w:rsidRPr="00D25CD5">
              <w:rPr>
                <w:rFonts w:ascii="Calibri" w:hAnsi="Calibri" w:cs="Times New Roman"/>
              </w:rPr>
              <w:t>Fair Work Commission (</w:t>
            </w:r>
            <w:proofErr w:type="spellStart"/>
            <w:r w:rsidRPr="00D25CD5">
              <w:rPr>
                <w:rFonts w:ascii="Calibri" w:hAnsi="Calibri" w:cs="Times New Roman"/>
              </w:rPr>
              <w:t>FWC</w:t>
            </w:r>
            <w:proofErr w:type="spellEnd"/>
            <w:r w:rsidRPr="00D25CD5">
              <w:rPr>
                <w:rFonts w:ascii="Calibri" w:hAnsi="Calibri" w:cs="Times New Roman"/>
              </w:rPr>
              <w:t xml:space="preserve">) </w:t>
            </w:r>
            <w:proofErr w:type="spellStart"/>
            <w:r w:rsidRPr="00D25CD5">
              <w:rPr>
                <w:rFonts w:ascii="Calibri" w:hAnsi="Calibri" w:cs="Times New Roman"/>
              </w:rPr>
              <w:t>Ph</w:t>
            </w:r>
            <w:proofErr w:type="spellEnd"/>
            <w:r w:rsidRPr="00D25CD5">
              <w:rPr>
                <w:rFonts w:ascii="Calibri" w:hAnsi="Calibri" w:cs="Times New Roman"/>
              </w:rPr>
              <w:t xml:space="preserve">: 1300 799 675 </w:t>
            </w:r>
            <w:hyperlink r:id="rId11" w:history="1">
              <w:r w:rsidRPr="00D25CD5">
                <w:rPr>
                  <w:rFonts w:ascii="Calibri" w:hAnsi="Calibri" w:cs="Times New Roman"/>
                  <w:u w:val="single"/>
                </w:rPr>
                <w:t>www.fwc.gov.au</w:t>
              </w:r>
            </w:hyperlink>
          </w:p>
          <w:p w:rsidR="00BF661A" w:rsidRPr="00D25CD5" w:rsidRDefault="00BF661A" w:rsidP="00BF661A">
            <w:pPr>
              <w:pStyle w:val="ListParagraph"/>
              <w:numPr>
                <w:ilvl w:val="0"/>
                <w:numId w:val="10"/>
              </w:numPr>
              <w:rPr>
                <w:rFonts w:ascii="Calibri" w:hAnsi="Calibri" w:cs="Times New Roman"/>
              </w:rPr>
            </w:pPr>
            <w:r w:rsidRPr="00D25CD5">
              <w:rPr>
                <w:rFonts w:ascii="Calibri" w:hAnsi="Calibri" w:cs="Times New Roman"/>
              </w:rPr>
              <w:t>Fair Work Ombudsman (</w:t>
            </w:r>
            <w:proofErr w:type="spellStart"/>
            <w:r w:rsidRPr="00D25CD5">
              <w:rPr>
                <w:rFonts w:ascii="Calibri" w:hAnsi="Calibri" w:cs="Times New Roman"/>
              </w:rPr>
              <w:t>FWO</w:t>
            </w:r>
            <w:proofErr w:type="spellEnd"/>
            <w:r w:rsidRPr="00D25CD5">
              <w:rPr>
                <w:rFonts w:ascii="Calibri" w:hAnsi="Calibri" w:cs="Times New Roman"/>
              </w:rPr>
              <w:t xml:space="preserve">) </w:t>
            </w:r>
            <w:proofErr w:type="spellStart"/>
            <w:r w:rsidRPr="00D25CD5">
              <w:rPr>
                <w:rFonts w:ascii="Calibri" w:hAnsi="Calibri" w:cs="Times New Roman"/>
              </w:rPr>
              <w:t>Ph</w:t>
            </w:r>
            <w:proofErr w:type="spellEnd"/>
            <w:r w:rsidRPr="00D25CD5">
              <w:rPr>
                <w:rFonts w:ascii="Calibri" w:hAnsi="Calibri" w:cs="Times New Roman"/>
              </w:rPr>
              <w:t xml:space="preserve">: 13 13 94 </w:t>
            </w:r>
            <w:hyperlink r:id="rId12" w:history="1">
              <w:r w:rsidRPr="00D25CD5">
                <w:rPr>
                  <w:rFonts w:ascii="Calibri" w:hAnsi="Calibri" w:cs="Times New Roman"/>
                  <w:u w:val="single"/>
                </w:rPr>
                <w:t>www.fairwork.gov.au</w:t>
              </w:r>
            </w:hyperlink>
          </w:p>
          <w:p w:rsidR="00BF661A" w:rsidRPr="00C265B8" w:rsidRDefault="00BF661A" w:rsidP="00F527AE">
            <w:pPr>
              <w:pStyle w:val="ListParagraph"/>
              <w:numPr>
                <w:ilvl w:val="0"/>
                <w:numId w:val="10"/>
              </w:numPr>
              <w:rPr>
                <w:sz w:val="20"/>
              </w:rPr>
            </w:pPr>
            <w:r w:rsidRPr="00C265B8">
              <w:rPr>
                <w:rFonts w:ascii="Calibri" w:hAnsi="Calibri" w:cs="Times New Roman"/>
              </w:rPr>
              <w:t xml:space="preserve">Australian </w:t>
            </w:r>
            <w:r w:rsidR="00F527AE">
              <w:rPr>
                <w:rFonts w:ascii="Calibri" w:hAnsi="Calibri" w:cs="Times New Roman"/>
              </w:rPr>
              <w:t xml:space="preserve">Human Rights Commission </w:t>
            </w:r>
            <w:proofErr w:type="spellStart"/>
            <w:r w:rsidR="00F527AE">
              <w:rPr>
                <w:rFonts w:ascii="Calibri" w:hAnsi="Calibri" w:cs="Times New Roman"/>
              </w:rPr>
              <w:t>Ph</w:t>
            </w:r>
            <w:proofErr w:type="spellEnd"/>
            <w:r w:rsidR="00F527AE">
              <w:rPr>
                <w:rFonts w:ascii="Calibri" w:hAnsi="Calibri" w:cs="Times New Roman"/>
              </w:rPr>
              <w:t>: 02</w:t>
            </w:r>
            <w:r w:rsidRPr="00C265B8">
              <w:rPr>
                <w:rFonts w:ascii="Calibri" w:hAnsi="Calibri" w:cs="Times New Roman"/>
              </w:rPr>
              <w:t xml:space="preserve"> 9284 9600 </w:t>
            </w:r>
            <w:proofErr w:type="spellStart"/>
            <w:r w:rsidR="00F527AE">
              <w:rPr>
                <w:rFonts w:ascii="Calibri" w:hAnsi="Calibri" w:cs="Times New Roman"/>
              </w:rPr>
              <w:t>I</w:t>
            </w:r>
            <w:r w:rsidRPr="00C265B8">
              <w:rPr>
                <w:rFonts w:ascii="Calibri" w:hAnsi="Calibri" w:cs="Times New Roman"/>
              </w:rPr>
              <w:t>nfoline</w:t>
            </w:r>
            <w:proofErr w:type="spellEnd"/>
            <w:r w:rsidRPr="00C265B8">
              <w:rPr>
                <w:rFonts w:ascii="Calibri" w:hAnsi="Calibri" w:cs="Times New Roman"/>
              </w:rPr>
              <w:t>: 1300 656 419</w:t>
            </w:r>
          </w:p>
        </w:tc>
      </w:tr>
    </w:tbl>
    <w:p w:rsidR="00E239A6" w:rsidRPr="00F527AE" w:rsidRDefault="00E239A6">
      <w:pPr>
        <w:rPr>
          <w:sz w:val="2"/>
          <w:szCs w:val="2"/>
        </w:rPr>
      </w:pPr>
    </w:p>
    <w:sectPr w:rsidR="00E239A6" w:rsidRPr="00F527AE" w:rsidSect="007D2251">
      <w:pgSz w:w="11906" w:h="16838"/>
      <w:pgMar w:top="680" w:right="907" w:bottom="680"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66" w:rsidRDefault="00BE7766" w:rsidP="00BE7766">
      <w:pPr>
        <w:spacing w:after="0" w:line="240" w:lineRule="auto"/>
      </w:pPr>
      <w:r>
        <w:separator/>
      </w:r>
    </w:p>
  </w:endnote>
  <w:endnote w:type="continuationSeparator" w:id="0">
    <w:p w:rsidR="00BE7766" w:rsidRDefault="00BE7766" w:rsidP="00BE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66" w:rsidRDefault="00BE7766" w:rsidP="00BE7766">
      <w:pPr>
        <w:spacing w:after="0" w:line="240" w:lineRule="auto"/>
      </w:pPr>
      <w:r>
        <w:separator/>
      </w:r>
    </w:p>
  </w:footnote>
  <w:footnote w:type="continuationSeparator" w:id="0">
    <w:p w:rsidR="00BE7766" w:rsidRDefault="00BE7766" w:rsidP="00BE7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FCE"/>
    <w:multiLevelType w:val="hybridMultilevel"/>
    <w:tmpl w:val="5732A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5FA3E6D"/>
    <w:multiLevelType w:val="hybridMultilevel"/>
    <w:tmpl w:val="2312E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EF43792"/>
    <w:multiLevelType w:val="hybridMultilevel"/>
    <w:tmpl w:val="7A023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2986B05"/>
    <w:multiLevelType w:val="hybridMultilevel"/>
    <w:tmpl w:val="F294A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BF876A1"/>
    <w:multiLevelType w:val="hybridMultilevel"/>
    <w:tmpl w:val="89308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1110933"/>
    <w:multiLevelType w:val="hybridMultilevel"/>
    <w:tmpl w:val="4D46C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4B42415"/>
    <w:multiLevelType w:val="hybridMultilevel"/>
    <w:tmpl w:val="E74E6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A5C25F7"/>
    <w:multiLevelType w:val="hybridMultilevel"/>
    <w:tmpl w:val="474695F0"/>
    <w:lvl w:ilvl="0" w:tplc="D8248F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143566F"/>
    <w:multiLevelType w:val="hybridMultilevel"/>
    <w:tmpl w:val="62524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280764F"/>
    <w:multiLevelType w:val="hybridMultilevel"/>
    <w:tmpl w:val="352664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F361D5E"/>
    <w:multiLevelType w:val="hybridMultilevel"/>
    <w:tmpl w:val="E29054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0"/>
  </w:num>
  <w:num w:numId="3">
    <w:abstractNumId w:val="6"/>
  </w:num>
  <w:num w:numId="4">
    <w:abstractNumId w:val="5"/>
  </w:num>
  <w:num w:numId="5">
    <w:abstractNumId w:val="1"/>
  </w:num>
  <w:num w:numId="6">
    <w:abstractNumId w:val="9"/>
  </w:num>
  <w:num w:numId="7">
    <w:abstractNumId w:val="4"/>
  </w:num>
  <w:num w:numId="8">
    <w:abstractNumId w:val="8"/>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1A"/>
    <w:rsid w:val="000255BA"/>
    <w:rsid w:val="00050293"/>
    <w:rsid w:val="00255D74"/>
    <w:rsid w:val="003E53F6"/>
    <w:rsid w:val="004B0F7E"/>
    <w:rsid w:val="005559BD"/>
    <w:rsid w:val="0062158F"/>
    <w:rsid w:val="006551A1"/>
    <w:rsid w:val="007950B7"/>
    <w:rsid w:val="007D2251"/>
    <w:rsid w:val="00876EE3"/>
    <w:rsid w:val="00890984"/>
    <w:rsid w:val="009623AA"/>
    <w:rsid w:val="009E3FE7"/>
    <w:rsid w:val="00A149DC"/>
    <w:rsid w:val="00A22AD0"/>
    <w:rsid w:val="00B900A3"/>
    <w:rsid w:val="00BB5DD8"/>
    <w:rsid w:val="00BE7766"/>
    <w:rsid w:val="00BF661A"/>
    <w:rsid w:val="00C4220B"/>
    <w:rsid w:val="00C57F57"/>
    <w:rsid w:val="00CF37EB"/>
    <w:rsid w:val="00E239A6"/>
    <w:rsid w:val="00F527AE"/>
    <w:rsid w:val="00F85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61A"/>
    <w:pPr>
      <w:spacing w:after="0" w:line="240" w:lineRule="auto"/>
    </w:pPr>
  </w:style>
  <w:style w:type="paragraph" w:styleId="ListParagraph">
    <w:name w:val="List Paragraph"/>
    <w:basedOn w:val="Normal"/>
    <w:uiPriority w:val="34"/>
    <w:qFormat/>
    <w:rsid w:val="00BF661A"/>
    <w:pPr>
      <w:ind w:left="720"/>
      <w:contextualSpacing/>
    </w:pPr>
  </w:style>
  <w:style w:type="paragraph" w:styleId="Header">
    <w:name w:val="header"/>
    <w:basedOn w:val="Normal"/>
    <w:link w:val="HeaderChar"/>
    <w:uiPriority w:val="99"/>
    <w:unhideWhenUsed/>
    <w:rsid w:val="00BE7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766"/>
  </w:style>
  <w:style w:type="paragraph" w:styleId="Footer">
    <w:name w:val="footer"/>
    <w:basedOn w:val="Normal"/>
    <w:link w:val="FooterChar"/>
    <w:uiPriority w:val="99"/>
    <w:unhideWhenUsed/>
    <w:rsid w:val="00BE7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766"/>
  </w:style>
  <w:style w:type="table" w:customStyle="1" w:styleId="TableGrid4">
    <w:name w:val="Table Grid4"/>
    <w:basedOn w:val="TableNormal"/>
    <w:next w:val="TableGrid"/>
    <w:uiPriority w:val="59"/>
    <w:rsid w:val="007D2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61A"/>
    <w:pPr>
      <w:spacing w:after="0" w:line="240" w:lineRule="auto"/>
    </w:pPr>
  </w:style>
  <w:style w:type="paragraph" w:styleId="ListParagraph">
    <w:name w:val="List Paragraph"/>
    <w:basedOn w:val="Normal"/>
    <w:uiPriority w:val="34"/>
    <w:qFormat/>
    <w:rsid w:val="00BF661A"/>
    <w:pPr>
      <w:ind w:left="720"/>
      <w:contextualSpacing/>
    </w:pPr>
  </w:style>
  <w:style w:type="paragraph" w:styleId="Header">
    <w:name w:val="header"/>
    <w:basedOn w:val="Normal"/>
    <w:link w:val="HeaderChar"/>
    <w:uiPriority w:val="99"/>
    <w:unhideWhenUsed/>
    <w:rsid w:val="00BE7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766"/>
  </w:style>
  <w:style w:type="paragraph" w:styleId="Footer">
    <w:name w:val="footer"/>
    <w:basedOn w:val="Normal"/>
    <w:link w:val="FooterChar"/>
    <w:uiPriority w:val="99"/>
    <w:unhideWhenUsed/>
    <w:rsid w:val="00BE7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766"/>
  </w:style>
  <w:style w:type="table" w:customStyle="1" w:styleId="TableGrid4">
    <w:name w:val="Table Grid4"/>
    <w:basedOn w:val="TableNormal"/>
    <w:next w:val="TableGrid"/>
    <w:uiPriority w:val="59"/>
    <w:rsid w:val="007D2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work.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c.gov.au" TargetMode="External"/><Relationship Id="rId5" Type="http://schemas.openxmlformats.org/officeDocument/2006/relationships/settings" Target="settings.xml"/><Relationship Id="rId10" Type="http://schemas.openxmlformats.org/officeDocument/2006/relationships/hyperlink" Target="http://www.ywls.org.au" TargetMode="External"/><Relationship Id="rId4" Type="http://schemas.microsoft.com/office/2007/relationships/stylesWithEffects" Target="stylesWithEffects.xml"/><Relationship Id="rId9" Type="http://schemas.openxmlformats.org/officeDocument/2006/relationships/hyperlink" Target="http://www.lsc.s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6AC5-C612-4F3D-ADC9-09F62272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Gill</dc:creator>
  <cp:lastModifiedBy>Caroline Gill</cp:lastModifiedBy>
  <cp:revision>13</cp:revision>
  <cp:lastPrinted>2014-11-06T04:42:00Z</cp:lastPrinted>
  <dcterms:created xsi:type="dcterms:W3CDTF">2014-11-05T04:42:00Z</dcterms:created>
  <dcterms:modified xsi:type="dcterms:W3CDTF">2014-11-06T04:49:00Z</dcterms:modified>
</cp:coreProperties>
</file>